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2E35B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7" w:lineRule="atLeast"/>
        <w:ind w:left="0" w:right="0" w:firstLine="0"/>
        <w:jc w:val="center"/>
        <w:rPr>
          <w:rFonts w:hint="eastAsia" w:ascii="方正小标宋简体" w:hAnsi="方正小标宋简体" w:eastAsia="方正小标宋简体" w:cs="方正小标宋简体"/>
          <w:b w:val="0"/>
          <w:bCs w:val="0"/>
          <w:i w:val="0"/>
          <w:iCs w:val="0"/>
          <w:caps w:val="0"/>
          <w:color w:val="auto"/>
          <w:spacing w:val="0"/>
          <w:sz w:val="44"/>
          <w:szCs w:val="44"/>
          <w:shd w:val="clear" w:fill="FFFFFF"/>
          <w:lang w:val="en-US"/>
        </w:rPr>
      </w:pPr>
      <w:r>
        <w:rPr>
          <w:rFonts w:hint="eastAsia" w:ascii="方正小标宋简体" w:hAnsi="方正小标宋简体" w:eastAsia="方正小标宋简体" w:cs="方正小标宋简体"/>
          <w:b w:val="0"/>
          <w:bCs w:val="0"/>
          <w:i w:val="0"/>
          <w:iCs w:val="0"/>
          <w:caps w:val="0"/>
          <w:color w:val="auto"/>
          <w:spacing w:val="0"/>
          <w:sz w:val="44"/>
          <w:szCs w:val="44"/>
          <w:shd w:val="clear" w:fill="FFFFFF"/>
          <w:lang w:val="en-US" w:eastAsia="zh-CN"/>
        </w:rPr>
        <w:t>关于转发《</w:t>
      </w:r>
      <w:r>
        <w:rPr>
          <w:rFonts w:hint="eastAsia" w:ascii="方正小标宋简体" w:hAnsi="方正小标宋简体" w:eastAsia="方正小标宋简体" w:cs="方正小标宋简体"/>
          <w:b w:val="0"/>
          <w:bCs w:val="0"/>
          <w:i w:val="0"/>
          <w:iCs w:val="0"/>
          <w:caps w:val="0"/>
          <w:color w:val="auto"/>
          <w:spacing w:val="0"/>
          <w:sz w:val="44"/>
          <w:szCs w:val="44"/>
          <w:shd w:val="clear" w:fill="FFFFFF"/>
        </w:rPr>
        <w:t>2025年天津市哲学社会科学规划年度项目申报通知</w:t>
      </w:r>
      <w:r>
        <w:rPr>
          <w:rFonts w:hint="eastAsia" w:ascii="方正小标宋简体" w:hAnsi="方正小标宋简体" w:eastAsia="方正小标宋简体" w:cs="方正小标宋简体"/>
          <w:b w:val="0"/>
          <w:bCs w:val="0"/>
          <w:i w:val="0"/>
          <w:iCs w:val="0"/>
          <w:caps w:val="0"/>
          <w:color w:val="auto"/>
          <w:spacing w:val="0"/>
          <w:sz w:val="44"/>
          <w:szCs w:val="44"/>
          <w:shd w:val="clear" w:fill="FFFFFF"/>
          <w:lang w:val="en-US" w:eastAsia="zh-CN"/>
        </w:rPr>
        <w:t>》的通知</w:t>
      </w:r>
    </w:p>
    <w:p w14:paraId="72FC6D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7" w:lineRule="atLeast"/>
        <w:ind w:left="0" w:right="0" w:firstLine="0"/>
        <w:jc w:val="left"/>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shd w:val="clear" w:fill="FFFFFF"/>
        </w:rPr>
        <w:t>各</w:t>
      </w:r>
      <w:r>
        <w:rPr>
          <w:rFonts w:hint="eastAsia" w:ascii="仿宋_GB2312" w:hAnsi="仿宋_GB2312" w:eastAsia="仿宋_GB2312" w:cs="仿宋_GB2312"/>
          <w:i w:val="0"/>
          <w:iCs w:val="0"/>
          <w:caps w:val="0"/>
          <w:color w:val="000000"/>
          <w:spacing w:val="0"/>
          <w:sz w:val="32"/>
          <w:szCs w:val="32"/>
          <w:shd w:val="clear" w:fill="FFFFFF"/>
          <w:lang w:val="en-US" w:eastAsia="zh-CN"/>
        </w:rPr>
        <w:t>学院（部）、相关处室</w:t>
      </w:r>
      <w:r>
        <w:rPr>
          <w:rFonts w:hint="eastAsia" w:ascii="仿宋_GB2312" w:hAnsi="仿宋_GB2312" w:eastAsia="仿宋_GB2312" w:cs="仿宋_GB2312"/>
          <w:i w:val="0"/>
          <w:iCs w:val="0"/>
          <w:caps w:val="0"/>
          <w:color w:val="000000"/>
          <w:spacing w:val="0"/>
          <w:sz w:val="32"/>
          <w:szCs w:val="32"/>
          <w:shd w:val="clear" w:fill="FFFFFF"/>
        </w:rPr>
        <w:t>：</w:t>
      </w:r>
    </w:p>
    <w:p w14:paraId="56256BB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宋体" w:hAnsi="宋体" w:eastAsia="宋体" w:cs="宋体"/>
          <w:i w:val="0"/>
          <w:iCs w:val="0"/>
          <w:caps w:val="0"/>
          <w:color w:val="000000"/>
          <w:spacing w:val="0"/>
          <w:sz w:val="33"/>
          <w:szCs w:val="33"/>
        </w:rPr>
      </w:pPr>
      <w:r>
        <w:rPr>
          <w:rFonts w:hint="eastAsia" w:ascii="仿宋_GB2312" w:hAnsi="仿宋_GB2312" w:eastAsia="仿宋_GB2312" w:cs="仿宋_GB2312"/>
          <w:i w:val="0"/>
          <w:iCs w:val="0"/>
          <w:caps w:val="0"/>
          <w:color w:val="000000"/>
          <w:spacing w:val="0"/>
          <w:sz w:val="32"/>
          <w:szCs w:val="32"/>
          <w:shd w:val="clear" w:fill="FFFFFF"/>
        </w:rPr>
        <w:t>天津市哲学社会科学工作办公室现就做好2025年天津市哲学社会科学规划年度项目申报工作的有关事项通知如下。</w:t>
      </w:r>
    </w:p>
    <w:p w14:paraId="0F52992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firstLineChars="200"/>
        <w:jc w:val="left"/>
        <w:textAlignment w:val="auto"/>
        <w:rPr>
          <w:rFonts w:hint="eastAsia" w:ascii="黑体" w:hAnsi="黑体" w:eastAsia="黑体" w:cs="黑体"/>
          <w:b w:val="0"/>
          <w:bCs/>
          <w:i w:val="0"/>
          <w:iCs w:val="0"/>
          <w:caps w:val="0"/>
          <w:color w:val="000000"/>
          <w:spacing w:val="0"/>
          <w:sz w:val="32"/>
          <w:szCs w:val="32"/>
        </w:rPr>
      </w:pPr>
      <w:r>
        <w:rPr>
          <w:rStyle w:val="5"/>
          <w:rFonts w:hint="eastAsia" w:ascii="黑体" w:hAnsi="黑体" w:eastAsia="黑体" w:cs="黑体"/>
          <w:b w:val="0"/>
          <w:bCs/>
          <w:i w:val="0"/>
          <w:iCs w:val="0"/>
          <w:caps w:val="0"/>
          <w:color w:val="000000"/>
          <w:spacing w:val="0"/>
          <w:sz w:val="32"/>
          <w:szCs w:val="32"/>
          <w:shd w:val="clear" w:fill="FFFFFF"/>
        </w:rPr>
        <w:t>一、项目宗旨</w:t>
      </w:r>
    </w:p>
    <w:p w14:paraId="5E474A5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57" w:lineRule="atLeast"/>
        <w:ind w:left="0" w:right="0" w:firstLine="0"/>
        <w:jc w:val="both"/>
        <w:textAlignment w:val="auto"/>
        <w:rPr>
          <w:rFonts w:hint="eastAsia" w:ascii="宋体" w:hAnsi="宋体" w:eastAsia="宋体" w:cs="宋体"/>
          <w:i w:val="0"/>
          <w:iCs w:val="0"/>
          <w:caps w:val="0"/>
          <w:color w:val="000000"/>
          <w:spacing w:val="0"/>
          <w:sz w:val="33"/>
          <w:szCs w:val="33"/>
        </w:rPr>
      </w:pPr>
      <w:r>
        <w:rPr>
          <w:rFonts w:hint="eastAsia" w:ascii="宋体" w:hAnsi="宋体" w:eastAsia="宋体" w:cs="宋体"/>
          <w:i w:val="0"/>
          <w:iCs w:val="0"/>
          <w:caps w:val="0"/>
          <w:color w:val="000000"/>
          <w:spacing w:val="0"/>
          <w:sz w:val="33"/>
          <w:szCs w:val="33"/>
          <w:shd w:val="clear" w:fill="FFFFFF"/>
        </w:rPr>
        <w:t>　　</w:t>
      </w:r>
      <w:r>
        <w:rPr>
          <w:rFonts w:hint="eastAsia" w:ascii="仿宋_GB2312" w:hAnsi="仿宋_GB2312" w:eastAsia="仿宋_GB2312" w:cs="仿宋_GB2312"/>
          <w:i w:val="0"/>
          <w:iCs w:val="0"/>
          <w:caps w:val="0"/>
          <w:color w:val="000000"/>
          <w:spacing w:val="0"/>
          <w:sz w:val="32"/>
          <w:szCs w:val="32"/>
          <w:shd w:val="clear" w:fill="FFFFFF"/>
        </w:rPr>
        <w:t>2025年天津市哲学社会科学规划年度项目申报工作以习近平新时代中国特色社会主义思想为指导，以习近平文化思想为引领，全面贯彻落实党的二十大和二十届二中、三中全会精神，深入实施《中共中央关于加快构建中国特色哲学社会科学的意见》，贯彻落实国家和天津市“十四五”时期哲学社会科学发展规划部署要求，坚持正确的政治方向、价值取向和学术导向，坚持有组织科研和自主探索相结合，坚持以重大理论和现实问题为主攻方向，坚持基础研究和应用研究并重，鼓励开展跨学科综合研究，推出具有理论创新、学术创造和决策参考价值的高质量研究成果，充分发挥社科规划项目示范引导和培育人才的积极作用，更好服务中国特色哲学社会科学学科体系、学术体系、话语体系建设，推进自主知识体系构建，更好服务党和国家工作大局。</w:t>
      </w:r>
    </w:p>
    <w:p w14:paraId="566256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7" w:lineRule="atLeast"/>
        <w:ind w:left="0" w:right="0" w:firstLine="0"/>
        <w:jc w:val="left"/>
        <w:rPr>
          <w:rStyle w:val="5"/>
          <w:rFonts w:hint="eastAsia" w:ascii="黑体" w:hAnsi="黑体" w:eastAsia="黑体" w:cs="黑体"/>
          <w:b w:val="0"/>
          <w:bCs/>
          <w:i w:val="0"/>
          <w:iCs w:val="0"/>
          <w:caps w:val="0"/>
          <w:color w:val="000000"/>
          <w:spacing w:val="0"/>
          <w:sz w:val="32"/>
          <w:szCs w:val="32"/>
          <w:shd w:val="clear" w:fill="FFFFFF"/>
        </w:rPr>
      </w:pPr>
      <w:r>
        <w:rPr>
          <w:rFonts w:hint="eastAsia" w:ascii="宋体" w:hAnsi="宋体" w:eastAsia="宋体" w:cs="宋体"/>
          <w:i w:val="0"/>
          <w:iCs w:val="0"/>
          <w:caps w:val="0"/>
          <w:color w:val="000000"/>
          <w:spacing w:val="0"/>
          <w:sz w:val="33"/>
          <w:szCs w:val="33"/>
          <w:shd w:val="clear" w:fill="FFFFFF"/>
        </w:rPr>
        <w:t>　　</w:t>
      </w:r>
      <w:r>
        <w:rPr>
          <w:rStyle w:val="5"/>
          <w:rFonts w:hint="eastAsia" w:ascii="黑体" w:hAnsi="黑体" w:eastAsia="黑体" w:cs="黑体"/>
          <w:b w:val="0"/>
          <w:bCs/>
          <w:i w:val="0"/>
          <w:iCs w:val="0"/>
          <w:caps w:val="0"/>
          <w:color w:val="000000"/>
          <w:spacing w:val="0"/>
          <w:sz w:val="32"/>
          <w:szCs w:val="32"/>
          <w:shd w:val="clear" w:fill="FFFFFF"/>
        </w:rPr>
        <w:t>二、项目类别</w:t>
      </w:r>
    </w:p>
    <w:p w14:paraId="6F7C8C0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b/>
          <w:bCs/>
          <w:i w:val="0"/>
          <w:iCs w:val="0"/>
          <w:caps w:val="0"/>
          <w:color w:val="auto"/>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rPr>
        <w:t>本次受理申报的天津市哲学社会科学规划年度项目包括</w:t>
      </w:r>
      <w:r>
        <w:rPr>
          <w:rFonts w:hint="eastAsia" w:ascii="仿宋_GB2312" w:hAnsi="仿宋_GB2312" w:eastAsia="仿宋_GB2312" w:cs="仿宋_GB2312"/>
          <w:b/>
          <w:bCs/>
          <w:i w:val="0"/>
          <w:iCs w:val="0"/>
          <w:caps w:val="0"/>
          <w:color w:val="auto"/>
          <w:spacing w:val="0"/>
          <w:sz w:val="32"/>
          <w:szCs w:val="32"/>
          <w:shd w:val="clear" w:fill="FFFFFF"/>
        </w:rPr>
        <w:t>重点项目、一般项目和青年项目。</w:t>
      </w:r>
    </w:p>
    <w:p w14:paraId="4D75241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rPr>
        <w:t>（一）重点项目应围绕党和国家工作大局、经济社会发展重要理论和实践问题、哲学社会科学重要基础和前沿问题开展原创性研究，鼓励学科交叉。申请人应具有较好的前期研究基础，预期成果体量和质量应高于一般项目。申报重点项目评审未通过的，原则上不再转立为一般项目。</w:t>
      </w:r>
    </w:p>
    <w:p w14:paraId="756EAF7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rPr>
        <w:t>（二）一般项目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创新性研究。</w:t>
      </w:r>
    </w:p>
    <w:p w14:paraId="1C3F892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rPr>
        <w:t>（三）青年项目旨在加强对青年人才的扶持和培养，发挥青年学者优势，推进知识创新、理论创新、方法创新和应用创新。</w:t>
      </w:r>
    </w:p>
    <w:p w14:paraId="144C89C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7" w:lineRule="atLeast"/>
        <w:ind w:left="0" w:right="0" w:firstLine="0"/>
        <w:jc w:val="left"/>
        <w:rPr>
          <w:rStyle w:val="5"/>
          <w:rFonts w:hint="eastAsia" w:ascii="黑体" w:hAnsi="黑体" w:eastAsia="黑体" w:cs="黑体"/>
          <w:b w:val="0"/>
          <w:bCs/>
          <w:i w:val="0"/>
          <w:iCs w:val="0"/>
          <w:caps w:val="0"/>
          <w:color w:val="000000"/>
          <w:spacing w:val="0"/>
          <w:sz w:val="32"/>
          <w:szCs w:val="32"/>
          <w:shd w:val="clear" w:fill="FFFFFF"/>
        </w:rPr>
      </w:pPr>
      <w:r>
        <w:rPr>
          <w:rFonts w:hint="eastAsia" w:ascii="宋体" w:hAnsi="宋体" w:eastAsia="宋体" w:cs="宋体"/>
          <w:i w:val="0"/>
          <w:iCs w:val="0"/>
          <w:caps w:val="0"/>
          <w:color w:val="000000"/>
          <w:spacing w:val="0"/>
          <w:sz w:val="33"/>
          <w:szCs w:val="33"/>
          <w:shd w:val="clear" w:fill="FFFFFF"/>
        </w:rPr>
        <w:t>　　</w:t>
      </w:r>
      <w:r>
        <w:rPr>
          <w:rStyle w:val="5"/>
          <w:rFonts w:hint="eastAsia" w:ascii="黑体" w:hAnsi="黑体" w:eastAsia="黑体" w:cs="黑体"/>
          <w:b w:val="0"/>
          <w:bCs/>
          <w:i w:val="0"/>
          <w:iCs w:val="0"/>
          <w:caps w:val="0"/>
          <w:color w:val="000000"/>
          <w:spacing w:val="0"/>
          <w:sz w:val="32"/>
          <w:szCs w:val="32"/>
          <w:shd w:val="clear" w:fill="FFFFFF"/>
        </w:rPr>
        <w:t>三、选题方向</w:t>
      </w:r>
    </w:p>
    <w:p w14:paraId="24E16B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7" w:lineRule="atLeast"/>
        <w:ind w:left="0" w:right="0" w:firstLine="0"/>
        <w:jc w:val="left"/>
        <w:rPr>
          <w:rFonts w:hint="eastAsia" w:ascii="仿宋_GB2312" w:hAnsi="仿宋_GB2312" w:eastAsia="仿宋_GB2312" w:cs="仿宋_GB2312"/>
          <w:i w:val="0"/>
          <w:iCs w:val="0"/>
          <w:caps w:val="0"/>
          <w:color w:val="000000"/>
          <w:spacing w:val="0"/>
          <w:sz w:val="32"/>
          <w:szCs w:val="32"/>
          <w:shd w:val="clear" w:fill="FFFFFF"/>
        </w:rPr>
      </w:pPr>
      <w:r>
        <w:rPr>
          <w:rFonts w:hint="eastAsia" w:ascii="宋体" w:hAnsi="宋体" w:eastAsia="宋体" w:cs="宋体"/>
          <w:i w:val="0"/>
          <w:iCs w:val="0"/>
          <w:caps w:val="0"/>
          <w:color w:val="000000"/>
          <w:spacing w:val="0"/>
          <w:sz w:val="33"/>
          <w:szCs w:val="33"/>
          <w:shd w:val="clear" w:fill="FFFFFF"/>
        </w:rPr>
        <w:t>　　</w:t>
      </w:r>
      <w:r>
        <w:rPr>
          <w:rFonts w:hint="eastAsia" w:ascii="仿宋_GB2312" w:hAnsi="仿宋_GB2312" w:eastAsia="仿宋_GB2312" w:cs="仿宋_GB2312"/>
          <w:i w:val="0"/>
          <w:iCs w:val="0"/>
          <w:caps w:val="0"/>
          <w:color w:val="000000"/>
          <w:spacing w:val="0"/>
          <w:sz w:val="32"/>
          <w:szCs w:val="32"/>
          <w:shd w:val="clear" w:fill="FFFFFF"/>
        </w:rPr>
        <w:t>本次申报不发布分学科具体课题指南，由项目申请人自主申报。申请人可对应上述项目类别的定位和要求，着眼国家需求和学科发展，从学科视角自主拟定题目申报，避免重复研究。鼓励围绕以下重点方向开展深入研究：</w:t>
      </w:r>
    </w:p>
    <w:p w14:paraId="03078B4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楷体_GB2312" w:hAnsi="楷体_GB2312" w:eastAsia="楷体_GB2312" w:cs="楷体_GB2312"/>
          <w:i w:val="0"/>
          <w:iCs w:val="0"/>
          <w:caps w:val="0"/>
          <w:color w:val="000000"/>
          <w:spacing w:val="0"/>
          <w:sz w:val="32"/>
          <w:szCs w:val="32"/>
        </w:rPr>
      </w:pPr>
      <w:r>
        <w:rPr>
          <w:rFonts w:hint="eastAsia" w:ascii="楷体_GB2312" w:hAnsi="楷体_GB2312" w:eastAsia="楷体_GB2312" w:cs="楷体_GB2312"/>
          <w:i w:val="0"/>
          <w:iCs w:val="0"/>
          <w:caps w:val="0"/>
          <w:color w:val="000000"/>
          <w:spacing w:val="0"/>
          <w:sz w:val="32"/>
          <w:szCs w:val="32"/>
          <w:shd w:val="clear" w:fill="FFFFFF"/>
        </w:rPr>
        <w:t>习近平新时代中国特色社会主义思想体系化学理化研究阐释；党的十八大以来的历史性成就历史性变革，中国式现代化的时代背景、本质要求、世界意义，新科技革命对中国式现代化带来的机遇和挑战，推进高水平对外开放，发展全过程人民民主，建设社会主义法治国家，繁荣发展中国特色社会主义文化，推进国家治理体系和治理能力现代化，乡村振兴，建设中华民族共同体，推动构建人类命运共同体，边疆治理与边疆史，国家安全体系和能力现代化，新时代基层社会治理（志愿服务、新时代文明实践、基层党建等），新时代青年群众、产业工人队伍的思想政治工作，党的自我革命，区域国别研究，文明交流互鉴、文化遗产保护传承，提升国际传播效能、新闻出版，中华优秀传统文化传承发展等方面；学习贯彻习近平总书记视察天津重要讲话精神，围绕天津高质量发展的重大理论问题、重大实践问题研究和重大经验总结；哲学社会科学各学科领域基础理论、学科史、方法论、前沿问题和理论联系实际的研究，各学科建设自主知识体系的原创性概念、命题和理论研究等。</w:t>
      </w:r>
    </w:p>
    <w:p w14:paraId="461F501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仿宋_GB2312" w:hAnsi="仿宋_GB2312" w:eastAsia="仿宋_GB2312" w:cs="仿宋_GB2312"/>
          <w:b/>
          <w:bCs/>
          <w:i w:val="0"/>
          <w:iCs w:val="0"/>
          <w:caps w:val="0"/>
          <w:color w:val="000000"/>
          <w:spacing w:val="0"/>
          <w:sz w:val="32"/>
          <w:szCs w:val="32"/>
          <w:shd w:val="clear" w:fill="FFFFFF"/>
        </w:rPr>
      </w:pPr>
      <w:r>
        <w:rPr>
          <w:rFonts w:hint="eastAsia" w:ascii="宋体" w:hAnsi="宋体" w:eastAsia="宋体" w:cs="宋体"/>
          <w:i w:val="0"/>
          <w:iCs w:val="0"/>
          <w:caps w:val="0"/>
          <w:color w:val="000000"/>
          <w:spacing w:val="0"/>
          <w:sz w:val="33"/>
          <w:szCs w:val="33"/>
          <w:shd w:val="clear" w:fill="FFFFFF"/>
        </w:rPr>
        <w:t>　　</w:t>
      </w:r>
      <w:r>
        <w:rPr>
          <w:rFonts w:hint="eastAsia" w:ascii="仿宋_GB2312" w:hAnsi="仿宋_GB2312" w:eastAsia="仿宋_GB2312" w:cs="仿宋_GB2312"/>
          <w:i w:val="0"/>
          <w:iCs w:val="0"/>
          <w:caps w:val="0"/>
          <w:color w:val="000000"/>
          <w:spacing w:val="0"/>
          <w:sz w:val="32"/>
          <w:szCs w:val="32"/>
          <w:shd w:val="clear" w:fill="FFFFFF"/>
        </w:rPr>
        <w:t>选题表述要符合项目定位，突出问题意识、学科视角，科学严谨、简明规范，避免引起歧义或争议。</w:t>
      </w:r>
      <w:r>
        <w:rPr>
          <w:rFonts w:hint="eastAsia" w:ascii="仿宋_GB2312" w:hAnsi="仿宋_GB2312" w:eastAsia="仿宋_GB2312" w:cs="仿宋_GB2312"/>
          <w:b/>
          <w:bCs/>
          <w:i w:val="0"/>
          <w:iCs w:val="0"/>
          <w:caps w:val="0"/>
          <w:color w:val="000000"/>
          <w:spacing w:val="0"/>
          <w:sz w:val="32"/>
          <w:szCs w:val="32"/>
          <w:shd w:val="clear" w:fill="FFFFFF"/>
        </w:rPr>
        <w:t>申请人须在课题论证材料中首先对选题作出说明，简洁明了地介绍选题所研究的核心问题、研究的视角等。</w:t>
      </w:r>
    </w:p>
    <w:p w14:paraId="779B44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7" w:lineRule="atLeast"/>
        <w:ind w:left="0" w:right="0" w:firstLine="0"/>
        <w:jc w:val="left"/>
        <w:rPr>
          <w:rStyle w:val="5"/>
          <w:rFonts w:hint="eastAsia" w:ascii="黑体" w:hAnsi="黑体" w:eastAsia="黑体" w:cs="黑体"/>
          <w:b w:val="0"/>
          <w:bCs/>
          <w:i w:val="0"/>
          <w:iCs w:val="0"/>
          <w:caps w:val="0"/>
          <w:color w:val="000000"/>
          <w:spacing w:val="0"/>
          <w:sz w:val="32"/>
          <w:szCs w:val="32"/>
          <w:shd w:val="clear" w:fill="FFFFFF"/>
        </w:rPr>
      </w:pPr>
      <w:r>
        <w:rPr>
          <w:rFonts w:hint="eastAsia" w:ascii="宋体" w:hAnsi="宋体" w:eastAsia="宋体" w:cs="宋体"/>
          <w:i w:val="0"/>
          <w:iCs w:val="0"/>
          <w:caps w:val="0"/>
          <w:color w:val="000000"/>
          <w:spacing w:val="0"/>
          <w:sz w:val="33"/>
          <w:szCs w:val="33"/>
          <w:shd w:val="clear" w:fill="FFFFFF"/>
        </w:rPr>
        <w:t>　　</w:t>
      </w:r>
      <w:r>
        <w:rPr>
          <w:rStyle w:val="5"/>
          <w:rFonts w:hint="eastAsia" w:ascii="黑体" w:hAnsi="黑体" w:eastAsia="黑体" w:cs="黑体"/>
          <w:b w:val="0"/>
          <w:bCs/>
          <w:i w:val="0"/>
          <w:iCs w:val="0"/>
          <w:caps w:val="0"/>
          <w:color w:val="000000"/>
          <w:spacing w:val="0"/>
          <w:sz w:val="32"/>
          <w:szCs w:val="32"/>
          <w:shd w:val="clear" w:fill="FFFFFF"/>
        </w:rPr>
        <w:t>四、申请人条件</w:t>
      </w:r>
    </w:p>
    <w:p w14:paraId="456EE87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宋体" w:hAnsi="宋体" w:eastAsia="宋体" w:cs="宋体"/>
          <w:i w:val="0"/>
          <w:iCs w:val="0"/>
          <w:caps w:val="0"/>
          <w:color w:val="000000"/>
          <w:spacing w:val="0"/>
          <w:sz w:val="33"/>
          <w:szCs w:val="33"/>
          <w:shd w:val="clear" w:fill="FFFFFF"/>
        </w:rPr>
        <w:t>　　</w:t>
      </w:r>
      <w:r>
        <w:rPr>
          <w:rFonts w:hint="eastAsia" w:ascii="仿宋_GB2312" w:hAnsi="仿宋_GB2312" w:eastAsia="仿宋_GB2312" w:cs="仿宋_GB2312"/>
          <w:i w:val="0"/>
          <w:iCs w:val="0"/>
          <w:caps w:val="0"/>
          <w:color w:val="000000"/>
          <w:spacing w:val="0"/>
          <w:sz w:val="32"/>
          <w:szCs w:val="32"/>
          <w:shd w:val="clear" w:fill="FFFFFF"/>
        </w:rPr>
        <w:t>申请人须遵守中华人民共和国宪法和法律，遵守天津市哲学社会科学规划</w:t>
      </w:r>
      <w:r>
        <w:rPr>
          <w:rFonts w:hint="eastAsia" w:ascii="仿宋_GB2312" w:hAnsi="仿宋_GB2312" w:eastAsia="仿宋_GB2312" w:cs="仿宋_GB2312"/>
          <w:i w:val="0"/>
          <w:iCs w:val="0"/>
          <w:caps w:val="0"/>
          <w:color w:val="000000"/>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000000"/>
          <w:spacing w:val="0"/>
          <w:sz w:val="32"/>
          <w:szCs w:val="32"/>
          <w:shd w:val="clear" w:fill="FFFFFF"/>
        </w:rPr>
        <w:t>管理有关规定，要熟知相关领域研究前沿动态，具有独立开展研究和组织开展研究的能力，能够承担实质性研究工作；坚守学术诚信，遵守学术道德，品行端正，学风优良。同时，还须具备下列相关条件：</w:t>
      </w:r>
    </w:p>
    <w:p w14:paraId="2F376F5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rPr>
        <w:t>　　（一）重点项目和一般项目：具有副高级以上（含）专业技术职称（职务）或博士学位。申请人可根据自身研究基础、前期成果、课题论证情况、预期研究成果体量等，自主选择申报重点项目或一般项目。</w:t>
      </w:r>
    </w:p>
    <w:p w14:paraId="68A0E98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rPr>
        <w:t>　　（二）青年项目：男性申请人年龄不超过35周岁（1990年10月13日后出生），女性申请人年龄不超过40周岁（1985年10月13日后出生）。</w:t>
      </w:r>
    </w:p>
    <w:p w14:paraId="7FDC182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rPr>
        <w:t>　　此外，全日制在读研究生不能申请（学历、学位证书标注日期均须在2025年10月13日之前）。符合申报要求的在站博士后人员可申请，其中全脱产博士后须从所在博士后工作站申请，在职博士后可以从所在工作单位或博士后工作站申请。</w:t>
      </w:r>
    </w:p>
    <w:p w14:paraId="626A6B0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rPr>
        <w:t>　　申报项目课题组列入研究成员须征得本人同意并签字确认，否则视为违规申报。</w:t>
      </w:r>
    </w:p>
    <w:p w14:paraId="713C93A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7" w:lineRule="atLeast"/>
        <w:ind w:left="0" w:right="0" w:firstLine="0"/>
        <w:jc w:val="left"/>
        <w:rPr>
          <w:rStyle w:val="5"/>
          <w:rFonts w:hint="eastAsia" w:ascii="黑体" w:hAnsi="黑体" w:eastAsia="黑体" w:cs="黑体"/>
          <w:b w:val="0"/>
          <w:bCs/>
          <w:i w:val="0"/>
          <w:iCs w:val="0"/>
          <w:caps w:val="0"/>
          <w:color w:val="000000"/>
          <w:spacing w:val="0"/>
          <w:sz w:val="32"/>
          <w:szCs w:val="32"/>
          <w:shd w:val="clear" w:fill="FFFFFF"/>
        </w:rPr>
      </w:pPr>
      <w:r>
        <w:rPr>
          <w:rFonts w:hint="eastAsia" w:ascii="宋体" w:hAnsi="宋体" w:eastAsia="宋体" w:cs="宋体"/>
          <w:i w:val="0"/>
          <w:iCs w:val="0"/>
          <w:caps w:val="0"/>
          <w:color w:val="000000"/>
          <w:spacing w:val="0"/>
          <w:sz w:val="33"/>
          <w:szCs w:val="33"/>
          <w:shd w:val="clear" w:fill="FFFFFF"/>
        </w:rPr>
        <w:t>　　</w:t>
      </w:r>
      <w:r>
        <w:rPr>
          <w:rStyle w:val="5"/>
          <w:rFonts w:hint="eastAsia" w:ascii="黑体" w:hAnsi="黑体" w:eastAsia="黑体" w:cs="黑体"/>
          <w:b w:val="0"/>
          <w:bCs/>
          <w:i w:val="0"/>
          <w:iCs w:val="0"/>
          <w:caps w:val="0"/>
          <w:color w:val="000000"/>
          <w:spacing w:val="0"/>
          <w:sz w:val="32"/>
          <w:szCs w:val="32"/>
          <w:shd w:val="clear" w:fill="FFFFFF"/>
        </w:rPr>
        <w:t>五、申请单位条件</w:t>
      </w:r>
    </w:p>
    <w:p w14:paraId="5788B99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宋体" w:hAnsi="宋体" w:eastAsia="宋体" w:cs="宋体"/>
          <w:i w:val="0"/>
          <w:iCs w:val="0"/>
          <w:caps w:val="0"/>
          <w:color w:val="000000"/>
          <w:spacing w:val="0"/>
          <w:sz w:val="33"/>
          <w:szCs w:val="33"/>
          <w:shd w:val="clear" w:fill="FFFFFF"/>
        </w:rPr>
        <w:t>　　</w:t>
      </w:r>
      <w:r>
        <w:rPr>
          <w:rFonts w:hint="eastAsia" w:ascii="仿宋_GB2312" w:hAnsi="仿宋_GB2312" w:eastAsia="仿宋_GB2312" w:cs="仿宋_GB2312"/>
          <w:i w:val="0"/>
          <w:iCs w:val="0"/>
          <w:caps w:val="0"/>
          <w:color w:val="000000"/>
          <w:spacing w:val="0"/>
          <w:sz w:val="32"/>
          <w:szCs w:val="32"/>
          <w:shd w:val="clear" w:fill="FFFFFF"/>
        </w:rPr>
        <w:t>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诺信誉保证。</w:t>
      </w:r>
    </w:p>
    <w:p w14:paraId="689DD3E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7" w:lineRule="atLeast"/>
        <w:ind w:left="0" w:right="0" w:firstLine="0"/>
        <w:jc w:val="left"/>
        <w:rPr>
          <w:rStyle w:val="5"/>
          <w:rFonts w:hint="eastAsia" w:ascii="黑体" w:hAnsi="黑体" w:eastAsia="黑体" w:cs="黑体"/>
          <w:b w:val="0"/>
          <w:bCs/>
          <w:i w:val="0"/>
          <w:iCs w:val="0"/>
          <w:caps w:val="0"/>
          <w:color w:val="000000"/>
          <w:spacing w:val="0"/>
          <w:sz w:val="32"/>
          <w:szCs w:val="32"/>
          <w:shd w:val="clear" w:fill="FFFFFF"/>
        </w:rPr>
      </w:pPr>
      <w:r>
        <w:rPr>
          <w:rFonts w:hint="eastAsia" w:ascii="宋体" w:hAnsi="宋体" w:eastAsia="宋体" w:cs="宋体"/>
          <w:i w:val="0"/>
          <w:iCs w:val="0"/>
          <w:caps w:val="0"/>
          <w:color w:val="000000"/>
          <w:spacing w:val="0"/>
          <w:sz w:val="33"/>
          <w:szCs w:val="33"/>
          <w:shd w:val="clear" w:fill="FFFFFF"/>
        </w:rPr>
        <w:t>　　</w:t>
      </w:r>
      <w:r>
        <w:rPr>
          <w:rStyle w:val="5"/>
          <w:rFonts w:hint="eastAsia" w:ascii="黑体" w:hAnsi="黑体" w:eastAsia="黑体" w:cs="黑体"/>
          <w:b w:val="0"/>
          <w:bCs/>
          <w:i w:val="0"/>
          <w:iCs w:val="0"/>
          <w:caps w:val="0"/>
          <w:color w:val="000000"/>
          <w:spacing w:val="0"/>
          <w:sz w:val="32"/>
          <w:szCs w:val="32"/>
          <w:shd w:val="clear" w:fill="FFFFFF"/>
        </w:rPr>
        <w:t>六、申报学科范围</w:t>
      </w:r>
    </w:p>
    <w:p w14:paraId="0ED8622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宋体" w:hAnsi="宋体" w:eastAsia="宋体" w:cs="宋体"/>
          <w:i w:val="0"/>
          <w:iCs w:val="0"/>
          <w:caps w:val="0"/>
          <w:color w:val="000000"/>
          <w:spacing w:val="0"/>
          <w:sz w:val="33"/>
          <w:szCs w:val="33"/>
          <w:shd w:val="clear" w:fill="FFFFFF"/>
        </w:rPr>
        <w:t>　　</w:t>
      </w:r>
      <w:r>
        <w:rPr>
          <w:rFonts w:hint="eastAsia" w:ascii="仿宋_GB2312" w:hAnsi="仿宋_GB2312" w:eastAsia="仿宋_GB2312" w:cs="仿宋_GB2312"/>
          <w:i w:val="0"/>
          <w:iCs w:val="0"/>
          <w:caps w:val="0"/>
          <w:color w:val="000000"/>
          <w:spacing w:val="0"/>
          <w:sz w:val="32"/>
          <w:szCs w:val="32"/>
          <w:shd w:val="clear" w:fill="FFFFFF"/>
        </w:rPr>
        <w:t>项目申报范围包括哲学社会科学20个一级学科，详见《2025年天津市哲学社会科学规划年度项目申报学科代码表》（以下简称《学科代码表》），申请人根据自身所在学科专业填报《2025年天津市哲学社会科学规划年度项目申请书》（以下简称《申请书》）。跨学科研究课题要以“靠近优先”原则，选择一个作为主学科申报。申请人既可围绕本项目申报通知中所列研究方向拟定研究题目，也可根据学科专业特点并结合已有相关研究基础自拟题目，二者在评审程序、评审标准、立项指标、资助力度等方面同样对待。</w:t>
      </w:r>
    </w:p>
    <w:p w14:paraId="310BC9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7" w:lineRule="atLeast"/>
        <w:ind w:left="0" w:right="0" w:firstLine="0"/>
        <w:jc w:val="left"/>
        <w:rPr>
          <w:rStyle w:val="5"/>
          <w:rFonts w:hint="eastAsia" w:ascii="黑体" w:hAnsi="黑体" w:eastAsia="黑体" w:cs="黑体"/>
          <w:b w:val="0"/>
          <w:bCs/>
          <w:i w:val="0"/>
          <w:iCs w:val="0"/>
          <w:caps w:val="0"/>
          <w:color w:val="000000"/>
          <w:spacing w:val="0"/>
          <w:sz w:val="32"/>
          <w:szCs w:val="32"/>
          <w:shd w:val="clear" w:fill="FFFFFF"/>
        </w:rPr>
      </w:pPr>
      <w:r>
        <w:rPr>
          <w:rFonts w:hint="eastAsia" w:ascii="宋体" w:hAnsi="宋体" w:eastAsia="宋体" w:cs="宋体"/>
          <w:i w:val="0"/>
          <w:iCs w:val="0"/>
          <w:caps w:val="0"/>
          <w:color w:val="000000"/>
          <w:spacing w:val="0"/>
          <w:sz w:val="33"/>
          <w:szCs w:val="33"/>
          <w:shd w:val="clear" w:fill="FFFFFF"/>
        </w:rPr>
        <w:t>　　</w:t>
      </w:r>
      <w:r>
        <w:rPr>
          <w:rStyle w:val="5"/>
          <w:rFonts w:hint="eastAsia" w:ascii="黑体" w:hAnsi="黑体" w:eastAsia="黑体" w:cs="黑体"/>
          <w:b w:val="0"/>
          <w:bCs/>
          <w:i w:val="0"/>
          <w:iCs w:val="0"/>
          <w:caps w:val="0"/>
          <w:color w:val="000000"/>
          <w:spacing w:val="0"/>
          <w:sz w:val="32"/>
          <w:szCs w:val="32"/>
          <w:shd w:val="clear" w:fill="FFFFFF"/>
        </w:rPr>
        <w:t>七、申报要求</w:t>
      </w:r>
    </w:p>
    <w:p w14:paraId="10127F5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宋体" w:hAnsi="宋体" w:eastAsia="宋体" w:cs="宋体"/>
          <w:i w:val="0"/>
          <w:iCs w:val="0"/>
          <w:caps w:val="0"/>
          <w:color w:val="000000"/>
          <w:spacing w:val="0"/>
          <w:sz w:val="33"/>
          <w:szCs w:val="33"/>
          <w:shd w:val="clear" w:fill="FFFFFF"/>
        </w:rPr>
        <w:t>　　</w:t>
      </w:r>
      <w:r>
        <w:rPr>
          <w:rFonts w:hint="eastAsia" w:ascii="仿宋_GB2312" w:hAnsi="仿宋_GB2312" w:eastAsia="仿宋_GB2312" w:cs="仿宋_GB2312"/>
          <w:i w:val="0"/>
          <w:iCs w:val="0"/>
          <w:caps w:val="0"/>
          <w:color w:val="000000"/>
          <w:spacing w:val="0"/>
          <w:sz w:val="32"/>
          <w:szCs w:val="32"/>
          <w:shd w:val="clear" w:fill="FFFFFF"/>
        </w:rPr>
        <w:t>为避免一题多报、交叉申请和重复立项，确保申请人有足够的时间和精力从事课题研究，作出如下限定：</w:t>
      </w:r>
    </w:p>
    <w:p w14:paraId="17F740A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rPr>
        <w:t>　　（一）申请人同年度只能申报1个项目，且不能作为课题组成员参与其他市社科规划年度项目。课题组成员最多参与2个年度项目申请；在研国家级和省部级项目课题组成员最多参与1个年度项目申请。</w:t>
      </w:r>
    </w:p>
    <w:p w14:paraId="35719E3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rPr>
        <w:t>　　（二）在研国家社科基金项目、国家自然科学基金项目、教育部人文社科项目、全国教育科学规划项目、全国艺术科学规划项目以及天津市社科规划各类项目（包括智库项目、艺术规划项目等）国家和省部级项目的负责人，不得申报新的市社科规划年度项目（结项证书标注日期在2025年10月13日之前），天津市社科规划委托项目及另作要求的项目除外。</w:t>
      </w:r>
    </w:p>
    <w:p w14:paraId="7AB1EEA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rPr>
        <w:t>　　不得通过变换责任单位回避前述规定,不得将内容基本相同或相近的申报材料以不同申请人的名义申报。</w:t>
      </w:r>
    </w:p>
    <w:p w14:paraId="11E6E30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rPr>
        <w:t>　　（三）凡在内容上与本人在研或已结项的各级各类项目有较大关联的，须在《申请书》中详细说明所申报项目与已承担项目的联系和区别，否则视为重复申报。不得以内容基本相同或相近的同一成果申请多个项目结项。</w:t>
      </w:r>
    </w:p>
    <w:p w14:paraId="0391D6C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rPr>
        <w:t>　　（四）凡以博士学位论文或博士后出站报告为基础申报市社科规划年度项目，须在《申请书》中注明所申报项目与学位论文（出站报告）的联系和区别，并承诺在原论文（出站报告）基础上进行实质性修改，预期成果与学位论文（出站报告）的重复比例不得超过60%。</w:t>
      </w:r>
    </w:p>
    <w:p w14:paraId="45C7829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rPr>
        <w:t>　　（五）不得使用与已出版的内容基本相同的研究成果申报市社科规划年度项目。</w:t>
      </w:r>
    </w:p>
    <w:p w14:paraId="4189B8F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rPr>
        <w:t>　　（六）立项后凡以天津市哲学社会科学规划年度项目名义发表阶段性成果或最终成果，不得同时标注国家和其他省部级项目资助字样。</w:t>
      </w:r>
    </w:p>
    <w:p w14:paraId="63335FE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firstLineChars="200"/>
        <w:jc w:val="left"/>
        <w:textAlignment w:val="auto"/>
        <w:rPr>
          <w:rStyle w:val="5"/>
          <w:rFonts w:hint="eastAsia" w:ascii="黑体" w:hAnsi="黑体" w:eastAsia="黑体" w:cs="黑体"/>
          <w:b w:val="0"/>
          <w:bCs/>
          <w:i w:val="0"/>
          <w:iCs w:val="0"/>
          <w:caps w:val="0"/>
          <w:color w:val="000000"/>
          <w:spacing w:val="0"/>
          <w:sz w:val="32"/>
          <w:szCs w:val="32"/>
          <w:shd w:val="clear" w:fill="FFFFFF"/>
        </w:rPr>
      </w:pPr>
      <w:r>
        <w:rPr>
          <w:rStyle w:val="5"/>
          <w:rFonts w:hint="eastAsia" w:ascii="黑体" w:hAnsi="黑体" w:eastAsia="黑体" w:cs="黑体"/>
          <w:b w:val="0"/>
          <w:bCs/>
          <w:i w:val="0"/>
          <w:iCs w:val="0"/>
          <w:caps w:val="0"/>
          <w:color w:val="000000"/>
          <w:spacing w:val="0"/>
          <w:sz w:val="32"/>
          <w:szCs w:val="32"/>
          <w:shd w:val="clear" w:fill="FFFFFF"/>
        </w:rPr>
        <w:t>八、项目成果形式</w:t>
      </w:r>
    </w:p>
    <w:p w14:paraId="1872786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宋体" w:hAnsi="宋体" w:eastAsia="宋体" w:cs="宋体"/>
          <w:i w:val="0"/>
          <w:iCs w:val="0"/>
          <w:caps w:val="0"/>
          <w:color w:val="000000"/>
          <w:spacing w:val="0"/>
          <w:sz w:val="33"/>
          <w:szCs w:val="33"/>
          <w:shd w:val="clear" w:fill="FFFFFF"/>
        </w:rPr>
        <w:t>　　</w:t>
      </w:r>
      <w:r>
        <w:rPr>
          <w:rFonts w:hint="eastAsia" w:ascii="仿宋_GB2312" w:hAnsi="仿宋_GB2312" w:eastAsia="仿宋_GB2312" w:cs="仿宋_GB2312"/>
          <w:i w:val="0"/>
          <w:iCs w:val="0"/>
          <w:caps w:val="0"/>
          <w:color w:val="000000"/>
          <w:spacing w:val="0"/>
          <w:sz w:val="32"/>
          <w:szCs w:val="32"/>
          <w:shd w:val="clear" w:fill="FFFFFF"/>
        </w:rPr>
        <w:t>（一）成果形式包括专著、研究报告、系列论文等，申报时须至少明确1种成果形式，否则视为无效。成果形式与内容须符合项目申请书的设计方案，且成果内容应与成果名称一致。填写2种及以上成果形式的，须同时分别满足各类成果结项要求。</w:t>
      </w:r>
    </w:p>
    <w:p w14:paraId="4CEA23B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rPr>
        <w:t>　　（二）立项时间自立项通知书下达之日算起，研究周期一般为1-2年。应用对策研究项目完成时限要根据研究问题的时效性确定。</w:t>
      </w:r>
    </w:p>
    <w:p w14:paraId="2D4559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rPr>
        <w:t>　　（三）成果（符合学术规范，无知识产权争议）发表时，须标明“天津市哲学社会科学规划研究项目成果”字样；成果出版时，须在封面、扉页标明“天津市哲学社会科学规划研究项目成果”字样，并在前言或后记写明项目编号、项目负责人等信息。成果呈报有关部门时，须标明“天津市哲学社会科学规划研究项目成果”字样。未按规定标注的或标注多个项目信息的，不能作为该项目成果申请鉴定。</w:t>
      </w:r>
    </w:p>
    <w:p w14:paraId="6FA1379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Style w:val="5"/>
          <w:rFonts w:hint="eastAsia" w:ascii="黑体" w:hAnsi="黑体" w:eastAsia="黑体" w:cs="黑体"/>
          <w:b w:val="0"/>
          <w:bCs/>
          <w:i w:val="0"/>
          <w:iCs w:val="0"/>
          <w:caps w:val="0"/>
          <w:color w:val="000000"/>
          <w:spacing w:val="0"/>
          <w:sz w:val="32"/>
          <w:szCs w:val="32"/>
          <w:shd w:val="clear" w:fill="FFFFFF"/>
        </w:rPr>
      </w:pPr>
      <w:r>
        <w:rPr>
          <w:rFonts w:hint="eastAsia" w:ascii="宋体" w:hAnsi="宋体" w:eastAsia="宋体" w:cs="宋体"/>
          <w:i w:val="0"/>
          <w:iCs w:val="0"/>
          <w:caps w:val="0"/>
          <w:color w:val="000000"/>
          <w:spacing w:val="0"/>
          <w:sz w:val="33"/>
          <w:szCs w:val="33"/>
          <w:shd w:val="clear" w:fill="FFFFFF"/>
        </w:rPr>
        <w:t>　　</w:t>
      </w:r>
      <w:r>
        <w:rPr>
          <w:rStyle w:val="5"/>
          <w:rFonts w:hint="eastAsia" w:ascii="黑体" w:hAnsi="黑体" w:eastAsia="黑体" w:cs="黑体"/>
          <w:b w:val="0"/>
          <w:bCs/>
          <w:i w:val="0"/>
          <w:iCs w:val="0"/>
          <w:caps w:val="0"/>
          <w:color w:val="000000"/>
          <w:spacing w:val="0"/>
          <w:sz w:val="32"/>
          <w:szCs w:val="32"/>
          <w:shd w:val="clear" w:fill="FFFFFF"/>
        </w:rPr>
        <w:t>九、工作纪律</w:t>
      </w:r>
    </w:p>
    <w:p w14:paraId="126945F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宋体" w:hAnsi="宋体" w:eastAsia="宋体" w:cs="宋体"/>
          <w:i w:val="0"/>
          <w:iCs w:val="0"/>
          <w:caps w:val="0"/>
          <w:color w:val="000000"/>
          <w:spacing w:val="0"/>
          <w:sz w:val="33"/>
          <w:szCs w:val="33"/>
          <w:shd w:val="clear" w:fill="FFFFFF"/>
        </w:rPr>
        <w:t>　　</w:t>
      </w:r>
      <w:r>
        <w:rPr>
          <w:rFonts w:hint="eastAsia" w:ascii="仿宋_GB2312" w:hAnsi="仿宋_GB2312" w:eastAsia="仿宋_GB2312" w:cs="仿宋_GB2312"/>
          <w:i w:val="0"/>
          <w:iCs w:val="0"/>
          <w:caps w:val="0"/>
          <w:color w:val="000000"/>
          <w:spacing w:val="0"/>
          <w:sz w:val="32"/>
          <w:szCs w:val="32"/>
          <w:shd w:val="clear" w:fill="FFFFFF"/>
        </w:rPr>
        <w:t>申请人须按照《申请书》和《2025年天津市哲学社会科学规划年度项目课题论证活页》(以下简称《课题论证活页》)要求如实填写申报材料，保证申请信息的真实性和准确性、保证没有知识产权争议、没有违背科研诚信要求的行为。申请人要弘扬崇尚精品、严谨治学、注重诚信、讲求责任的优良学风，自觉坚持公平竞争的原则，严格遵守我市哲学社会科学规划项目管理规定。凡有弄虚作假、抄袭剽窃、违规违纪等行为的，一经查实即取消参评资格，5年内不得申报国家社会科学基金项目和天津市哲学社会科学规划项目，同时通报批评，并责成所在单位依规进行处分；如获立项，一律撤项。凡在申报和评审中有违规违纪行为的，除按规定处理外，还将列入不良科研信用记录。</w:t>
      </w:r>
    </w:p>
    <w:p w14:paraId="27B4677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rPr>
        <w:t>　　获准立项后，项目负责人在项目执行期间要遵守相关承诺，履行约定义务，按期完成研究任务，结项成果形式原则上须与预期成果一致。</w:t>
      </w:r>
    </w:p>
    <w:p w14:paraId="4819DE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7" w:lineRule="atLeast"/>
        <w:ind w:left="0" w:right="0" w:firstLine="0"/>
        <w:jc w:val="left"/>
        <w:rPr>
          <w:rStyle w:val="5"/>
          <w:rFonts w:hint="eastAsia" w:ascii="黑体" w:hAnsi="黑体" w:eastAsia="黑体" w:cs="黑体"/>
          <w:b w:val="0"/>
          <w:bCs/>
          <w:i w:val="0"/>
          <w:iCs w:val="0"/>
          <w:caps w:val="0"/>
          <w:color w:val="000000"/>
          <w:spacing w:val="0"/>
          <w:sz w:val="32"/>
          <w:szCs w:val="32"/>
          <w:shd w:val="clear" w:fill="FFFFFF"/>
        </w:rPr>
      </w:pPr>
      <w:r>
        <w:rPr>
          <w:rFonts w:hint="eastAsia" w:ascii="宋体" w:hAnsi="宋体" w:eastAsia="宋体" w:cs="宋体"/>
          <w:i w:val="0"/>
          <w:iCs w:val="0"/>
          <w:caps w:val="0"/>
          <w:color w:val="000000"/>
          <w:spacing w:val="0"/>
          <w:sz w:val="33"/>
          <w:szCs w:val="33"/>
          <w:shd w:val="clear" w:fill="FFFFFF"/>
        </w:rPr>
        <w:t>　　</w:t>
      </w:r>
      <w:r>
        <w:rPr>
          <w:rStyle w:val="5"/>
          <w:rFonts w:hint="eastAsia" w:ascii="黑体" w:hAnsi="黑体" w:eastAsia="黑体" w:cs="黑体"/>
          <w:b w:val="0"/>
          <w:bCs/>
          <w:i w:val="0"/>
          <w:iCs w:val="0"/>
          <w:caps w:val="0"/>
          <w:color w:val="000000"/>
          <w:spacing w:val="0"/>
          <w:sz w:val="32"/>
          <w:szCs w:val="32"/>
          <w:shd w:val="clear" w:fill="FFFFFF"/>
        </w:rPr>
        <w:t>十、工作要求</w:t>
      </w:r>
    </w:p>
    <w:p w14:paraId="0231236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rPr>
        <w:t>《申请书》要求一律机打，A3纸双面印制、中缝装订，一式3 份</w:t>
      </w:r>
      <w:r>
        <w:rPr>
          <w:rFonts w:hint="eastAsia" w:ascii="仿宋_GB2312" w:hAnsi="仿宋_GB2312" w:eastAsia="仿宋_GB2312" w:cs="仿宋_GB2312"/>
          <w:i w:val="0"/>
          <w:iCs w:val="0"/>
          <w:caps w:val="0"/>
          <w:color w:val="000000"/>
          <w:spacing w:val="0"/>
          <w:sz w:val="32"/>
          <w:szCs w:val="32"/>
          <w:shd w:val="clear" w:fill="FFFFFF"/>
          <w:lang w:val="en-US" w:eastAsia="zh-CN"/>
        </w:rPr>
        <w:t>;</w:t>
      </w:r>
      <w:r>
        <w:rPr>
          <w:rFonts w:hint="eastAsia" w:ascii="仿宋_GB2312" w:hAnsi="仿宋_GB2312" w:eastAsia="仿宋_GB2312" w:cs="仿宋_GB2312"/>
          <w:i w:val="0"/>
          <w:iCs w:val="0"/>
          <w:caps w:val="0"/>
          <w:color w:val="000000"/>
          <w:spacing w:val="0"/>
          <w:sz w:val="32"/>
          <w:szCs w:val="32"/>
          <w:shd w:val="clear" w:fill="FFFFFF"/>
        </w:rPr>
        <w:t>《课题论证活页》要求一律机打，A3纸双面印制、中缝装订，一式5份，每份字数不超过5000字。</w:t>
      </w:r>
    </w:p>
    <w:p w14:paraId="52D077D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rPr>
        <w:t>　　</w:t>
      </w:r>
    </w:p>
    <w:p w14:paraId="330DC30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rPr>
        <w:t>各单位于2025年10月1</w:t>
      </w:r>
      <w:r>
        <w:rPr>
          <w:rFonts w:hint="eastAsia" w:ascii="仿宋_GB2312" w:hAnsi="仿宋_GB2312" w:eastAsia="仿宋_GB2312" w:cs="仿宋_GB2312"/>
          <w:i w:val="0"/>
          <w:iCs w:val="0"/>
          <w:caps w:val="0"/>
          <w:color w:val="000000"/>
          <w:spacing w:val="0"/>
          <w:sz w:val="32"/>
          <w:szCs w:val="32"/>
          <w:shd w:val="clear" w:fill="FFFFFF"/>
          <w:lang w:val="en-US" w:eastAsia="zh-CN"/>
        </w:rPr>
        <w:t>0</w:t>
      </w:r>
      <w:r>
        <w:rPr>
          <w:rFonts w:hint="eastAsia" w:ascii="仿宋_GB2312" w:hAnsi="仿宋_GB2312" w:eastAsia="仿宋_GB2312" w:cs="仿宋_GB2312"/>
          <w:i w:val="0"/>
          <w:iCs w:val="0"/>
          <w:caps w:val="0"/>
          <w:color w:val="000000"/>
          <w:spacing w:val="0"/>
          <w:sz w:val="32"/>
          <w:szCs w:val="32"/>
          <w:shd w:val="clear" w:fill="FFFFFF"/>
        </w:rPr>
        <w:t>日（星期</w:t>
      </w:r>
      <w:r>
        <w:rPr>
          <w:rFonts w:hint="eastAsia" w:ascii="仿宋_GB2312" w:hAnsi="仿宋_GB2312" w:eastAsia="仿宋_GB2312" w:cs="仿宋_GB2312"/>
          <w:i w:val="0"/>
          <w:iCs w:val="0"/>
          <w:caps w:val="0"/>
          <w:color w:val="000000"/>
          <w:spacing w:val="0"/>
          <w:sz w:val="32"/>
          <w:szCs w:val="32"/>
          <w:shd w:val="clear" w:fill="FFFFFF"/>
          <w:lang w:val="en-US" w:eastAsia="zh-CN"/>
        </w:rPr>
        <w:t>五</w:t>
      </w:r>
      <w:r>
        <w:rPr>
          <w:rFonts w:hint="eastAsia" w:ascii="仿宋_GB2312" w:hAnsi="仿宋_GB2312" w:eastAsia="仿宋_GB2312" w:cs="仿宋_GB2312"/>
          <w:i w:val="0"/>
          <w:iCs w:val="0"/>
          <w:caps w:val="0"/>
          <w:color w:val="000000"/>
          <w:spacing w:val="0"/>
          <w:sz w:val="32"/>
          <w:szCs w:val="32"/>
          <w:shd w:val="clear" w:fill="FFFFFF"/>
        </w:rPr>
        <w:t>）前，将《申请书》《课题论证活页》和《汇总表》纸质版报送</w:t>
      </w:r>
      <w:r>
        <w:rPr>
          <w:rFonts w:hint="eastAsia" w:ascii="仿宋_GB2312" w:hAnsi="仿宋_GB2312" w:eastAsia="仿宋_GB2312" w:cs="仿宋_GB2312"/>
          <w:i w:val="0"/>
          <w:iCs w:val="0"/>
          <w:caps w:val="0"/>
          <w:color w:val="000000"/>
          <w:spacing w:val="0"/>
          <w:sz w:val="32"/>
          <w:szCs w:val="32"/>
          <w:shd w:val="clear" w:fill="FFFFFF"/>
          <w:lang w:val="en-US" w:eastAsia="zh-CN"/>
        </w:rPr>
        <w:t>科研与国际交流处</w:t>
      </w:r>
      <w:r>
        <w:rPr>
          <w:rFonts w:hint="eastAsia" w:ascii="仿宋_GB2312" w:hAnsi="仿宋_GB2312" w:eastAsia="仿宋_GB2312" w:cs="仿宋_GB2312"/>
          <w:i w:val="0"/>
          <w:iCs w:val="0"/>
          <w:caps w:val="0"/>
          <w:color w:val="000000"/>
          <w:spacing w:val="0"/>
          <w:sz w:val="32"/>
          <w:szCs w:val="32"/>
          <w:shd w:val="clear" w:fill="FFFFFF"/>
        </w:rPr>
        <w:t>，</w:t>
      </w:r>
      <w:r>
        <w:rPr>
          <w:rFonts w:hint="eastAsia" w:ascii="仿宋_GB2312" w:hAnsi="仿宋_GB2312" w:eastAsia="仿宋_GB2312" w:cs="仿宋_GB2312"/>
          <w:i w:val="0"/>
          <w:iCs w:val="0"/>
          <w:caps w:val="0"/>
          <w:color w:val="000000"/>
          <w:spacing w:val="0"/>
          <w:sz w:val="32"/>
          <w:szCs w:val="32"/>
          <w:shd w:val="clear" w:fill="FFFFFF"/>
          <w:lang w:val="en-US" w:eastAsia="zh-CN"/>
        </w:rPr>
        <w:t>电子版（Word）发至邮箱tyky2015@126.com,</w:t>
      </w:r>
      <w:r>
        <w:rPr>
          <w:rFonts w:hint="eastAsia" w:ascii="仿宋_GB2312" w:hAnsi="仿宋_GB2312" w:eastAsia="仿宋_GB2312" w:cs="仿宋_GB2312"/>
          <w:i w:val="0"/>
          <w:iCs w:val="0"/>
          <w:caps w:val="0"/>
          <w:color w:val="000000"/>
          <w:spacing w:val="0"/>
          <w:sz w:val="32"/>
          <w:szCs w:val="32"/>
          <w:shd w:val="clear" w:fill="FFFFFF"/>
        </w:rPr>
        <w:t>逾期视作放弃。</w:t>
      </w:r>
    </w:p>
    <w:p w14:paraId="097B0E7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eastAsia" w:ascii="仿宋_GB2312" w:hAnsi="仿宋_GB2312" w:eastAsia="仿宋_GB2312" w:cs="仿宋_GB2312"/>
          <w:i w:val="0"/>
          <w:iCs w:val="0"/>
          <w:caps w:val="0"/>
          <w:color w:val="000000"/>
          <w:spacing w:val="0"/>
          <w:sz w:val="32"/>
          <w:szCs w:val="32"/>
          <w:shd w:val="clear" w:fill="FFFFFF"/>
        </w:rPr>
      </w:pPr>
    </w:p>
    <w:p w14:paraId="2B5C1D5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eastAsia" w:ascii="仿宋_GB2312" w:hAnsi="仿宋_GB2312" w:eastAsia="仿宋_GB2312" w:cs="仿宋_GB2312"/>
          <w:i w:val="0"/>
          <w:iCs w:val="0"/>
          <w:caps w:val="0"/>
          <w:color w:val="000000"/>
          <w:spacing w:val="0"/>
          <w:sz w:val="32"/>
          <w:szCs w:val="32"/>
          <w:shd w:val="clear" w:fill="FFFFFF"/>
        </w:rPr>
      </w:pPr>
    </w:p>
    <w:p w14:paraId="033057B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right"/>
        <w:textAlignment w:val="auto"/>
        <w:rPr>
          <w:rFonts w:hint="eastAsia" w:ascii="仿宋_GB2312" w:hAnsi="仿宋_GB2312" w:eastAsia="仿宋_GB2312" w:cs="仿宋_GB2312"/>
          <w:i w:val="0"/>
          <w:iCs w:val="0"/>
          <w:caps w:val="0"/>
          <w:color w:val="000000"/>
          <w:spacing w:val="0"/>
          <w:sz w:val="32"/>
          <w:szCs w:val="32"/>
          <w:shd w:val="clear" w:fill="FFFFFF"/>
          <w:lang w:val="en-US" w:eastAsia="zh-CN"/>
        </w:rPr>
      </w:pPr>
      <w:bookmarkStart w:id="0" w:name="_GoBack"/>
      <w:r>
        <w:rPr>
          <w:rFonts w:hint="eastAsia" w:ascii="仿宋_GB2312" w:hAnsi="仿宋_GB2312" w:eastAsia="仿宋_GB2312" w:cs="仿宋_GB2312"/>
          <w:i w:val="0"/>
          <w:iCs w:val="0"/>
          <w:caps w:val="0"/>
          <w:color w:val="000000"/>
          <w:spacing w:val="0"/>
          <w:sz w:val="32"/>
          <w:szCs w:val="32"/>
          <w:shd w:val="clear" w:fill="FFFFFF"/>
          <w:lang w:val="en-US" w:eastAsia="zh-CN"/>
        </w:rPr>
        <w:t>科研与国际交流处</w:t>
      </w:r>
    </w:p>
    <w:p w14:paraId="045A25C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right"/>
        <w:textAlignment w:val="auto"/>
        <w:rPr>
          <w:rFonts w:hint="default" w:ascii="仿宋_GB2312" w:hAnsi="仿宋_GB2312" w:eastAsia="仿宋_GB2312" w:cs="仿宋_GB2312"/>
          <w:i w:val="0"/>
          <w:iCs w:val="0"/>
          <w:caps w:val="0"/>
          <w:color w:val="000000"/>
          <w:spacing w:val="0"/>
          <w:sz w:val="32"/>
          <w:szCs w:val="32"/>
          <w:shd w:val="clear" w:fill="FFFFFF"/>
          <w:lang w:val="en-US"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2025年9月12日</w:t>
      </w:r>
    </w:p>
    <w:bookmarkEnd w:id="0"/>
    <w:p w14:paraId="382B033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right"/>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rPr>
        <w:t> </w:t>
      </w:r>
    </w:p>
    <w:p w14:paraId="5518996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7" w:lineRule="atLeast"/>
        <w:ind w:left="0" w:right="0" w:firstLine="0"/>
        <w:jc w:val="left"/>
        <w:rPr>
          <w:rFonts w:hint="eastAsia" w:ascii="宋体" w:hAnsi="宋体" w:eastAsia="宋体" w:cs="宋体"/>
          <w:i w:val="0"/>
          <w:iCs w:val="0"/>
          <w:caps w:val="0"/>
          <w:color w:val="000000"/>
          <w:spacing w:val="0"/>
          <w:sz w:val="33"/>
          <w:szCs w:val="33"/>
        </w:rPr>
      </w:pPr>
      <w:r>
        <w:rPr>
          <w:rFonts w:hint="eastAsia" w:ascii="宋体" w:hAnsi="宋体" w:eastAsia="宋体" w:cs="宋体"/>
          <w:i w:val="0"/>
          <w:iCs w:val="0"/>
          <w:caps w:val="0"/>
          <w:color w:val="000000"/>
          <w:spacing w:val="0"/>
          <w:sz w:val="33"/>
          <w:szCs w:val="33"/>
          <w:shd w:val="clear" w:fill="FFFFFF"/>
        </w:rPr>
        <w:t>　　                    </w:t>
      </w:r>
    </w:p>
    <w:p w14:paraId="1609B1A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firstLine="640" w:firstLineChars="20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rPr>
        <w:t>附件：1.</w:t>
      </w:r>
      <w:r>
        <w:rPr>
          <w:rFonts w:hint="eastAsia" w:ascii="仿宋_GB2312" w:hAnsi="仿宋_GB2312" w:eastAsia="仿宋_GB2312" w:cs="仿宋_GB2312"/>
          <w:i w:val="0"/>
          <w:iCs w:val="0"/>
          <w:caps w:val="0"/>
          <w:color w:val="000000"/>
          <w:spacing w:val="0"/>
          <w:sz w:val="32"/>
          <w:szCs w:val="32"/>
          <w:shd w:val="clear" w:fill="FFFFFF"/>
        </w:rPr>
        <w:fldChar w:fldCharType="begin"/>
      </w:r>
      <w:r>
        <w:rPr>
          <w:rFonts w:hint="eastAsia" w:ascii="仿宋_GB2312" w:hAnsi="仿宋_GB2312" w:eastAsia="仿宋_GB2312" w:cs="仿宋_GB2312"/>
          <w:i w:val="0"/>
          <w:iCs w:val="0"/>
          <w:caps w:val="0"/>
          <w:color w:val="000000"/>
          <w:spacing w:val="0"/>
          <w:sz w:val="32"/>
          <w:szCs w:val="32"/>
          <w:shd w:val="clear" w:fill="FFFFFF"/>
        </w:rPr>
        <w:instrText xml:space="preserve"> HYPERLINK "http://www.tjskw.org.cn/tzgg/doc/003/000/122/00300012291_09010e5c.doc" \t "http://www.tjskw.org.cn/tzgg/system/2025/09/11/_blank" </w:instrText>
      </w:r>
      <w:r>
        <w:rPr>
          <w:rFonts w:hint="eastAsia" w:ascii="仿宋_GB2312" w:hAnsi="仿宋_GB2312" w:eastAsia="仿宋_GB2312" w:cs="仿宋_GB2312"/>
          <w:i w:val="0"/>
          <w:iCs w:val="0"/>
          <w:caps w:val="0"/>
          <w:color w:val="000000"/>
          <w:spacing w:val="0"/>
          <w:sz w:val="32"/>
          <w:szCs w:val="32"/>
          <w:shd w:val="clear" w:fill="FFFFFF"/>
        </w:rPr>
        <w:fldChar w:fldCharType="separate"/>
      </w:r>
      <w:r>
        <w:rPr>
          <w:rFonts w:hint="eastAsia" w:ascii="仿宋_GB2312" w:hAnsi="仿宋_GB2312" w:eastAsia="仿宋_GB2312" w:cs="仿宋_GB2312"/>
          <w:i w:val="0"/>
          <w:iCs w:val="0"/>
          <w:caps w:val="0"/>
          <w:color w:val="000000"/>
          <w:spacing w:val="0"/>
          <w:sz w:val="32"/>
          <w:szCs w:val="32"/>
          <w:shd w:val="clear" w:fill="FFFFFF"/>
        </w:rPr>
        <w:t>《申请书</w:t>
      </w:r>
      <w:r>
        <w:rPr>
          <w:rFonts w:hint="eastAsia" w:ascii="仿宋_GB2312" w:hAnsi="仿宋_GB2312" w:eastAsia="仿宋_GB2312" w:cs="仿宋_GB2312"/>
          <w:i w:val="0"/>
          <w:iCs w:val="0"/>
          <w:caps w:val="0"/>
          <w:color w:val="000000"/>
          <w:spacing w:val="0"/>
          <w:sz w:val="32"/>
          <w:szCs w:val="32"/>
          <w:shd w:val="clear" w:fill="FFFFFF"/>
        </w:rPr>
        <w:fldChar w:fldCharType="end"/>
      </w:r>
      <w:r>
        <w:rPr>
          <w:rFonts w:hint="eastAsia" w:ascii="仿宋_GB2312" w:hAnsi="仿宋_GB2312" w:eastAsia="仿宋_GB2312" w:cs="仿宋_GB2312"/>
          <w:i w:val="0"/>
          <w:iCs w:val="0"/>
          <w:caps w:val="0"/>
          <w:color w:val="000000"/>
          <w:spacing w:val="0"/>
          <w:sz w:val="32"/>
          <w:szCs w:val="32"/>
          <w:shd w:val="clear" w:fill="FFFFFF"/>
        </w:rPr>
        <w:t>》</w:t>
      </w:r>
    </w:p>
    <w:p w14:paraId="7FD630C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rPr>
        <w:t>　　   2.</w:t>
      </w:r>
      <w:r>
        <w:rPr>
          <w:rFonts w:hint="eastAsia" w:ascii="仿宋_GB2312" w:hAnsi="仿宋_GB2312" w:eastAsia="仿宋_GB2312" w:cs="仿宋_GB2312"/>
          <w:i w:val="0"/>
          <w:iCs w:val="0"/>
          <w:caps w:val="0"/>
          <w:color w:val="000000"/>
          <w:spacing w:val="0"/>
          <w:sz w:val="32"/>
          <w:szCs w:val="32"/>
          <w:shd w:val="clear" w:fill="FFFFFF"/>
        </w:rPr>
        <w:fldChar w:fldCharType="begin"/>
      </w:r>
      <w:r>
        <w:rPr>
          <w:rFonts w:hint="eastAsia" w:ascii="仿宋_GB2312" w:hAnsi="仿宋_GB2312" w:eastAsia="仿宋_GB2312" w:cs="仿宋_GB2312"/>
          <w:i w:val="0"/>
          <w:iCs w:val="0"/>
          <w:caps w:val="0"/>
          <w:color w:val="000000"/>
          <w:spacing w:val="0"/>
          <w:sz w:val="32"/>
          <w:szCs w:val="32"/>
          <w:shd w:val="clear" w:fill="FFFFFF"/>
        </w:rPr>
        <w:instrText xml:space="preserve"> HYPERLINK "http://www.tjskw.org.cn/tzgg/doc/003/000/122/00300012286_6cbf2ae9.doc" \t "http://www.tjskw.org.cn/tzgg/system/2025/09/11/_blank" </w:instrText>
      </w:r>
      <w:r>
        <w:rPr>
          <w:rFonts w:hint="eastAsia" w:ascii="仿宋_GB2312" w:hAnsi="仿宋_GB2312" w:eastAsia="仿宋_GB2312" w:cs="仿宋_GB2312"/>
          <w:i w:val="0"/>
          <w:iCs w:val="0"/>
          <w:caps w:val="0"/>
          <w:color w:val="000000"/>
          <w:spacing w:val="0"/>
          <w:sz w:val="32"/>
          <w:szCs w:val="32"/>
          <w:shd w:val="clear" w:fill="FFFFFF"/>
        </w:rPr>
        <w:fldChar w:fldCharType="separate"/>
      </w:r>
      <w:r>
        <w:rPr>
          <w:rFonts w:hint="eastAsia" w:ascii="仿宋_GB2312" w:hAnsi="仿宋_GB2312" w:eastAsia="仿宋_GB2312" w:cs="仿宋_GB2312"/>
          <w:i w:val="0"/>
          <w:iCs w:val="0"/>
          <w:caps w:val="0"/>
          <w:color w:val="000000"/>
          <w:spacing w:val="0"/>
          <w:sz w:val="32"/>
          <w:szCs w:val="32"/>
          <w:shd w:val="clear" w:fill="FFFFFF"/>
        </w:rPr>
        <w:t>《课题设计论活页》</w:t>
      </w:r>
      <w:r>
        <w:rPr>
          <w:rFonts w:hint="eastAsia" w:ascii="仿宋_GB2312" w:hAnsi="仿宋_GB2312" w:eastAsia="仿宋_GB2312" w:cs="仿宋_GB2312"/>
          <w:i w:val="0"/>
          <w:iCs w:val="0"/>
          <w:caps w:val="0"/>
          <w:color w:val="000000"/>
          <w:spacing w:val="0"/>
          <w:sz w:val="32"/>
          <w:szCs w:val="32"/>
          <w:shd w:val="clear" w:fill="FFFFFF"/>
        </w:rPr>
        <w:fldChar w:fldCharType="end"/>
      </w:r>
    </w:p>
    <w:p w14:paraId="262E125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rPr>
        <w:t xml:space="preserve">　    </w:t>
      </w:r>
      <w:r>
        <w:rPr>
          <w:rFonts w:hint="eastAsia" w:ascii="仿宋_GB2312" w:hAnsi="仿宋_GB2312" w:eastAsia="仿宋_GB2312" w:cs="仿宋_GB2312"/>
          <w:i w:val="0"/>
          <w:iCs w:val="0"/>
          <w:caps w:val="0"/>
          <w:color w:val="000000"/>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000000"/>
          <w:spacing w:val="0"/>
          <w:sz w:val="32"/>
          <w:szCs w:val="32"/>
          <w:shd w:val="clear" w:fill="FFFFFF"/>
        </w:rPr>
        <w:t>3.</w:t>
      </w:r>
      <w:r>
        <w:rPr>
          <w:rFonts w:hint="eastAsia" w:ascii="仿宋_GB2312" w:hAnsi="仿宋_GB2312" w:eastAsia="仿宋_GB2312" w:cs="仿宋_GB2312"/>
          <w:i w:val="0"/>
          <w:iCs w:val="0"/>
          <w:caps w:val="0"/>
          <w:color w:val="000000"/>
          <w:spacing w:val="0"/>
          <w:sz w:val="32"/>
          <w:szCs w:val="32"/>
          <w:shd w:val="clear" w:fill="FFFFFF"/>
        </w:rPr>
        <w:fldChar w:fldCharType="begin"/>
      </w:r>
      <w:r>
        <w:rPr>
          <w:rFonts w:hint="eastAsia" w:ascii="仿宋_GB2312" w:hAnsi="仿宋_GB2312" w:eastAsia="仿宋_GB2312" w:cs="仿宋_GB2312"/>
          <w:i w:val="0"/>
          <w:iCs w:val="0"/>
          <w:caps w:val="0"/>
          <w:color w:val="000000"/>
          <w:spacing w:val="0"/>
          <w:sz w:val="32"/>
          <w:szCs w:val="32"/>
          <w:shd w:val="clear" w:fill="FFFFFF"/>
        </w:rPr>
        <w:instrText xml:space="preserve"> HYPERLINK "http://www.tjskw.org.cn/tzgg/doc/003/000/122/00300012287_df6ab4be.doc" \t "http://www.tjskw.org.cn/tzgg/system/2025/09/11/_blank" </w:instrText>
      </w:r>
      <w:r>
        <w:rPr>
          <w:rFonts w:hint="eastAsia" w:ascii="仿宋_GB2312" w:hAnsi="仿宋_GB2312" w:eastAsia="仿宋_GB2312" w:cs="仿宋_GB2312"/>
          <w:i w:val="0"/>
          <w:iCs w:val="0"/>
          <w:caps w:val="0"/>
          <w:color w:val="000000"/>
          <w:spacing w:val="0"/>
          <w:sz w:val="32"/>
          <w:szCs w:val="32"/>
          <w:shd w:val="clear" w:fill="FFFFFF"/>
        </w:rPr>
        <w:fldChar w:fldCharType="separate"/>
      </w:r>
      <w:r>
        <w:rPr>
          <w:rFonts w:hint="eastAsia" w:ascii="仿宋_GB2312" w:hAnsi="仿宋_GB2312" w:eastAsia="仿宋_GB2312" w:cs="仿宋_GB2312"/>
          <w:i w:val="0"/>
          <w:iCs w:val="0"/>
          <w:caps w:val="0"/>
          <w:color w:val="000000"/>
          <w:spacing w:val="0"/>
          <w:sz w:val="32"/>
          <w:szCs w:val="32"/>
          <w:shd w:val="clear" w:fill="FFFFFF"/>
        </w:rPr>
        <w:t>《学科代码表》</w:t>
      </w:r>
      <w:r>
        <w:rPr>
          <w:rFonts w:hint="eastAsia" w:ascii="仿宋_GB2312" w:hAnsi="仿宋_GB2312" w:eastAsia="仿宋_GB2312" w:cs="仿宋_GB2312"/>
          <w:i w:val="0"/>
          <w:iCs w:val="0"/>
          <w:caps w:val="0"/>
          <w:color w:val="000000"/>
          <w:spacing w:val="0"/>
          <w:sz w:val="32"/>
          <w:szCs w:val="32"/>
          <w:shd w:val="clear" w:fill="FFFFFF"/>
        </w:rPr>
        <w:fldChar w:fldCharType="end"/>
      </w:r>
    </w:p>
    <w:p w14:paraId="397F238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rPr>
        <w:t>　　 </w:t>
      </w:r>
      <w:r>
        <w:rPr>
          <w:rFonts w:hint="eastAsia" w:ascii="仿宋_GB2312" w:hAnsi="仿宋_GB2312" w:eastAsia="仿宋_GB2312" w:cs="仿宋_GB2312"/>
          <w:i w:val="0"/>
          <w:iCs w:val="0"/>
          <w:caps w:val="0"/>
          <w:color w:val="000000"/>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000000"/>
          <w:spacing w:val="0"/>
          <w:sz w:val="32"/>
          <w:szCs w:val="32"/>
          <w:shd w:val="clear" w:fill="FFFFFF"/>
        </w:rPr>
        <w:t>4.</w:t>
      </w:r>
      <w:r>
        <w:rPr>
          <w:rFonts w:hint="eastAsia" w:ascii="仿宋_GB2312" w:hAnsi="仿宋_GB2312" w:eastAsia="仿宋_GB2312" w:cs="仿宋_GB2312"/>
          <w:i w:val="0"/>
          <w:iCs w:val="0"/>
          <w:caps w:val="0"/>
          <w:color w:val="000000"/>
          <w:spacing w:val="0"/>
          <w:sz w:val="32"/>
          <w:szCs w:val="32"/>
          <w:shd w:val="clear" w:fill="FFFFFF"/>
        </w:rPr>
        <w:fldChar w:fldCharType="begin"/>
      </w:r>
      <w:r>
        <w:rPr>
          <w:rFonts w:hint="eastAsia" w:ascii="仿宋_GB2312" w:hAnsi="仿宋_GB2312" w:eastAsia="仿宋_GB2312" w:cs="仿宋_GB2312"/>
          <w:i w:val="0"/>
          <w:iCs w:val="0"/>
          <w:caps w:val="0"/>
          <w:color w:val="000000"/>
          <w:spacing w:val="0"/>
          <w:sz w:val="32"/>
          <w:szCs w:val="32"/>
          <w:shd w:val="clear" w:fill="FFFFFF"/>
        </w:rPr>
        <w:instrText xml:space="preserve"> HYPERLINK "http://www.tjskw.org.cn/tzgg/doc/003/000/122/00300012288_08cf3a1e.xls" \t "http://www.tjskw.org.cn/tzgg/system/2025/09/11/_blank" </w:instrText>
      </w:r>
      <w:r>
        <w:rPr>
          <w:rFonts w:hint="eastAsia" w:ascii="仿宋_GB2312" w:hAnsi="仿宋_GB2312" w:eastAsia="仿宋_GB2312" w:cs="仿宋_GB2312"/>
          <w:i w:val="0"/>
          <w:iCs w:val="0"/>
          <w:caps w:val="0"/>
          <w:color w:val="000000"/>
          <w:spacing w:val="0"/>
          <w:sz w:val="32"/>
          <w:szCs w:val="32"/>
          <w:shd w:val="clear" w:fill="FFFFFF"/>
        </w:rPr>
        <w:fldChar w:fldCharType="separate"/>
      </w:r>
      <w:r>
        <w:rPr>
          <w:rFonts w:hint="eastAsia" w:ascii="仿宋_GB2312" w:hAnsi="仿宋_GB2312" w:eastAsia="仿宋_GB2312" w:cs="仿宋_GB2312"/>
          <w:i w:val="0"/>
          <w:iCs w:val="0"/>
          <w:caps w:val="0"/>
          <w:color w:val="000000"/>
          <w:spacing w:val="0"/>
          <w:sz w:val="32"/>
          <w:szCs w:val="32"/>
          <w:shd w:val="clear" w:fill="FFFFFF"/>
        </w:rPr>
        <w:t>《一般和重点项目申报汇总表》</w:t>
      </w:r>
      <w:r>
        <w:rPr>
          <w:rFonts w:hint="eastAsia" w:ascii="仿宋_GB2312" w:hAnsi="仿宋_GB2312" w:eastAsia="仿宋_GB2312" w:cs="仿宋_GB2312"/>
          <w:i w:val="0"/>
          <w:iCs w:val="0"/>
          <w:caps w:val="0"/>
          <w:color w:val="000000"/>
          <w:spacing w:val="0"/>
          <w:sz w:val="32"/>
          <w:szCs w:val="32"/>
          <w:shd w:val="clear" w:fill="FFFFFF"/>
        </w:rPr>
        <w:fldChar w:fldCharType="end"/>
      </w:r>
    </w:p>
    <w:p w14:paraId="70ADCA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rPr>
        <w:t>　　   5.</w:t>
      </w:r>
      <w:r>
        <w:rPr>
          <w:rFonts w:hint="eastAsia" w:ascii="仿宋_GB2312" w:hAnsi="仿宋_GB2312" w:eastAsia="仿宋_GB2312" w:cs="仿宋_GB2312"/>
          <w:i w:val="0"/>
          <w:iCs w:val="0"/>
          <w:caps w:val="0"/>
          <w:color w:val="000000"/>
          <w:spacing w:val="0"/>
          <w:sz w:val="32"/>
          <w:szCs w:val="32"/>
          <w:shd w:val="clear" w:fill="FFFFFF"/>
        </w:rPr>
        <w:fldChar w:fldCharType="begin"/>
      </w:r>
      <w:r>
        <w:rPr>
          <w:rFonts w:hint="eastAsia" w:ascii="仿宋_GB2312" w:hAnsi="仿宋_GB2312" w:eastAsia="仿宋_GB2312" w:cs="仿宋_GB2312"/>
          <w:i w:val="0"/>
          <w:iCs w:val="0"/>
          <w:caps w:val="0"/>
          <w:color w:val="000000"/>
          <w:spacing w:val="0"/>
          <w:sz w:val="32"/>
          <w:szCs w:val="32"/>
          <w:shd w:val="clear" w:fill="FFFFFF"/>
        </w:rPr>
        <w:instrText xml:space="preserve"> HYPERLINK "http://www.tjskw.org.cn/tzgg/doc/003/000/122/00300012289_bf8a5a11.xls" \t "http://www.tjskw.org.cn/tzgg/system/2025/09/11/_blank" </w:instrText>
      </w:r>
      <w:r>
        <w:rPr>
          <w:rFonts w:hint="eastAsia" w:ascii="仿宋_GB2312" w:hAnsi="仿宋_GB2312" w:eastAsia="仿宋_GB2312" w:cs="仿宋_GB2312"/>
          <w:i w:val="0"/>
          <w:iCs w:val="0"/>
          <w:caps w:val="0"/>
          <w:color w:val="000000"/>
          <w:spacing w:val="0"/>
          <w:sz w:val="32"/>
          <w:szCs w:val="32"/>
          <w:shd w:val="clear" w:fill="FFFFFF"/>
        </w:rPr>
        <w:fldChar w:fldCharType="separate"/>
      </w:r>
      <w:r>
        <w:rPr>
          <w:rFonts w:hint="eastAsia" w:ascii="仿宋_GB2312" w:hAnsi="仿宋_GB2312" w:eastAsia="仿宋_GB2312" w:cs="仿宋_GB2312"/>
          <w:i w:val="0"/>
          <w:iCs w:val="0"/>
          <w:caps w:val="0"/>
          <w:color w:val="000000"/>
          <w:spacing w:val="0"/>
          <w:sz w:val="32"/>
          <w:szCs w:val="32"/>
          <w:shd w:val="clear" w:fill="FFFFFF"/>
        </w:rPr>
        <w:t>《青年项目申报汇总表》</w:t>
      </w:r>
      <w:r>
        <w:rPr>
          <w:rFonts w:hint="eastAsia" w:ascii="仿宋_GB2312" w:hAnsi="仿宋_GB2312" w:eastAsia="仿宋_GB2312" w:cs="仿宋_GB2312"/>
          <w:i w:val="0"/>
          <w:iCs w:val="0"/>
          <w:caps w:val="0"/>
          <w:color w:val="000000"/>
          <w:spacing w:val="0"/>
          <w:sz w:val="32"/>
          <w:szCs w:val="32"/>
          <w:shd w:val="clear" w:fill="FFFFFF"/>
        </w:rPr>
        <w:fldChar w:fldCharType="end"/>
      </w:r>
    </w:p>
    <w:p w14:paraId="1FC64DD0">
      <w:pPr>
        <w:rPr>
          <w:rFonts w:hint="eastAsia" w:eastAsiaTheme="minorEastAsia"/>
          <w:lang w:val="en-US" w:eastAsia="zh-CN"/>
        </w:rPr>
      </w:pPr>
      <w:r>
        <w:rPr>
          <w:rFonts w:hint="eastAsia"/>
          <w:lang w:val="en-US" w:eastAsia="zh-CN"/>
        </w:rPr>
        <w:t xml:space="preserve"> </w:t>
      </w:r>
    </w:p>
    <w:sectPr>
      <w:pgSz w:w="11906" w:h="16838"/>
      <w:pgMar w:top="2098" w:right="1531" w:bottom="2098"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977903"/>
    <w:rsid w:val="30794DBE"/>
    <w:rsid w:val="30BC0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4195</Words>
  <Characters>4301</Characters>
  <Lines>0</Lines>
  <Paragraphs>0</Paragraphs>
  <TotalTime>36</TotalTime>
  <ScaleCrop>false</ScaleCrop>
  <LinksUpToDate>false</LinksUpToDate>
  <CharactersWithSpaces>4508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2025-09-12T02:13:00Z</dcterms:created>
  <dc:creator>93428</dc:creator>
  <cp:lastModifiedBy>蜜蜜思语</cp:lastModifiedBy>
  <dcterms:modified xsi:type="dcterms:W3CDTF">2025-09-12T02:59:29Z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eyJoZGlkIjoiYjUxMWM1ODdlNjc2ODUzNjhlMzNjZjc1YjIwZmZhNWQiLCJ1c2VySWQiOiI1NDAwODQxNTgifQ==</vt:lpwstr>
  </property>
  <property fmtid="{D5CDD505-2E9C-101B-9397-08002B2CF9AE}" pid="4" name="ICV">
    <vt:lpwstr>4E26C2CFE44C498790C60E6937A3F340_12</vt:lpwstr>
  </property>
</Properties>
</file>